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00" w:rsidRPr="00740D92" w:rsidRDefault="001A3428" w:rsidP="00846311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740D92">
        <w:rPr>
          <w:rFonts w:ascii="Arial" w:hAnsi="Arial" w:cs="Arial"/>
          <w:b/>
          <w:sz w:val="28"/>
          <w:szCs w:val="28"/>
          <w:lang w:val="en-US"/>
        </w:rPr>
        <w:t>Annual Procurement Activity Plan</w:t>
      </w:r>
      <w:r w:rsidR="002D2B7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20B9C">
        <w:rPr>
          <w:rFonts w:ascii="Arial" w:hAnsi="Arial" w:cs="Arial"/>
          <w:b/>
          <w:sz w:val="28"/>
          <w:szCs w:val="28"/>
          <w:lang w:val="en-US"/>
        </w:rPr>
        <w:t>2025</w:t>
      </w:r>
      <w:r w:rsidR="000E3848">
        <w:rPr>
          <w:rFonts w:ascii="Arial" w:hAnsi="Arial" w:cs="Arial"/>
          <w:b/>
          <w:sz w:val="28"/>
          <w:szCs w:val="28"/>
          <w:lang w:val="en-US"/>
        </w:rPr>
        <w:t>-</w:t>
      </w:r>
      <w:r w:rsidR="00F20B9C">
        <w:rPr>
          <w:rFonts w:ascii="Arial" w:hAnsi="Arial" w:cs="Arial"/>
          <w:b/>
          <w:sz w:val="28"/>
          <w:szCs w:val="28"/>
          <w:lang w:val="en-US"/>
        </w:rPr>
        <w:t>2026</w:t>
      </w:r>
    </w:p>
    <w:p w:rsidR="001A3428" w:rsidRPr="00740D92" w:rsidRDefault="001A3428" w:rsidP="00846311">
      <w:pPr>
        <w:spacing w:line="240" w:lineRule="auto"/>
        <w:jc w:val="both"/>
        <w:rPr>
          <w:rFonts w:ascii="Arial" w:hAnsi="Arial" w:cs="Arial"/>
          <w:lang w:val="en-US"/>
        </w:rPr>
      </w:pPr>
      <w:r w:rsidRPr="00740D92">
        <w:rPr>
          <w:rFonts w:ascii="Arial" w:hAnsi="Arial" w:cs="Arial"/>
          <w:lang w:val="en-US"/>
        </w:rPr>
        <w:t xml:space="preserve">Goulburn Valley Health </w:t>
      </w:r>
      <w:r w:rsidR="00596571">
        <w:rPr>
          <w:rFonts w:ascii="Arial" w:hAnsi="Arial" w:cs="Arial"/>
          <w:lang w:val="en-US"/>
        </w:rPr>
        <w:t>is</w:t>
      </w:r>
      <w:r w:rsidRPr="00740D92">
        <w:rPr>
          <w:rFonts w:ascii="Arial" w:hAnsi="Arial" w:cs="Arial"/>
          <w:lang w:val="en-US"/>
        </w:rPr>
        <w:t xml:space="preserve"> looking to develop </w:t>
      </w:r>
      <w:r w:rsidR="00596571">
        <w:rPr>
          <w:rFonts w:ascii="Arial" w:hAnsi="Arial" w:cs="Arial"/>
          <w:lang w:val="en-US"/>
        </w:rPr>
        <w:t>long-term</w:t>
      </w:r>
      <w:r w:rsidRPr="00740D92">
        <w:rPr>
          <w:rFonts w:ascii="Arial" w:hAnsi="Arial" w:cs="Arial"/>
          <w:lang w:val="en-US"/>
        </w:rPr>
        <w:t xml:space="preserve"> partnerships with suppliers </w:t>
      </w:r>
      <w:r w:rsidR="00596571">
        <w:rPr>
          <w:rFonts w:ascii="Arial" w:hAnsi="Arial" w:cs="Arial"/>
          <w:lang w:val="en-US"/>
        </w:rPr>
        <w:t>who</w:t>
      </w:r>
      <w:r w:rsidRPr="00740D92">
        <w:rPr>
          <w:rFonts w:ascii="Arial" w:hAnsi="Arial" w:cs="Arial"/>
          <w:lang w:val="en-US"/>
        </w:rPr>
        <w:t xml:space="preserve"> are adaptable and innovative, who take accountability, and who can help deliver real and lasting value.</w:t>
      </w:r>
    </w:p>
    <w:p w:rsidR="001A3428" w:rsidRPr="00740D92" w:rsidRDefault="001A3428" w:rsidP="00846311">
      <w:pPr>
        <w:spacing w:line="240" w:lineRule="auto"/>
        <w:jc w:val="both"/>
        <w:rPr>
          <w:rFonts w:ascii="Arial" w:hAnsi="Arial" w:cs="Arial"/>
          <w:lang w:val="en-US"/>
        </w:rPr>
      </w:pPr>
      <w:r w:rsidRPr="00740D92">
        <w:rPr>
          <w:rFonts w:ascii="Arial" w:hAnsi="Arial" w:cs="Arial"/>
          <w:lang w:val="en-US"/>
        </w:rPr>
        <w:t>To effectively and efficiently procure goods and services across the organi</w:t>
      </w:r>
      <w:r w:rsidR="00A20137">
        <w:rPr>
          <w:rFonts w:ascii="Arial" w:hAnsi="Arial" w:cs="Arial"/>
          <w:lang w:val="en-US"/>
        </w:rPr>
        <w:t>s</w:t>
      </w:r>
      <w:r w:rsidRPr="00740D92">
        <w:rPr>
          <w:rFonts w:ascii="Arial" w:hAnsi="Arial" w:cs="Arial"/>
          <w:lang w:val="en-US"/>
        </w:rPr>
        <w:t>ation to obtain the best value for money and economies of scale</w:t>
      </w:r>
      <w:r w:rsidR="00740D92" w:rsidRPr="00740D92">
        <w:rPr>
          <w:rFonts w:ascii="Arial" w:hAnsi="Arial" w:cs="Arial"/>
          <w:lang w:val="en-US"/>
        </w:rPr>
        <w:t>,</w:t>
      </w:r>
      <w:r w:rsidRPr="00740D92">
        <w:rPr>
          <w:rFonts w:ascii="Arial" w:hAnsi="Arial" w:cs="Arial"/>
          <w:lang w:val="en-US"/>
        </w:rPr>
        <w:t xml:space="preserve"> Goulburn Valley Health’s procurement activity plan is aligned </w:t>
      </w:r>
      <w:r w:rsidR="00CE791C">
        <w:rPr>
          <w:rFonts w:ascii="Arial" w:hAnsi="Arial" w:cs="Arial"/>
          <w:lang w:val="en-US"/>
        </w:rPr>
        <w:t>with</w:t>
      </w:r>
      <w:r w:rsidRPr="00740D92">
        <w:rPr>
          <w:rFonts w:ascii="Arial" w:hAnsi="Arial" w:cs="Arial"/>
          <w:lang w:val="en-US"/>
        </w:rPr>
        <w:t xml:space="preserve"> its priorities and </w:t>
      </w:r>
      <w:r w:rsidR="00740D92" w:rsidRPr="00740D92">
        <w:rPr>
          <w:rFonts w:ascii="Arial" w:hAnsi="Arial" w:cs="Arial"/>
          <w:lang w:val="en-US"/>
        </w:rPr>
        <w:t>strategies.</w:t>
      </w:r>
    </w:p>
    <w:p w:rsidR="00740D92" w:rsidRPr="00740D92" w:rsidRDefault="00740D92" w:rsidP="00846311">
      <w:pPr>
        <w:spacing w:line="240" w:lineRule="auto"/>
        <w:jc w:val="both"/>
        <w:rPr>
          <w:rFonts w:ascii="Arial" w:hAnsi="Arial" w:cs="Arial"/>
          <w:lang w:val="en-US"/>
        </w:rPr>
      </w:pPr>
      <w:r w:rsidRPr="00740D92">
        <w:rPr>
          <w:rFonts w:ascii="Arial" w:hAnsi="Arial" w:cs="Arial"/>
          <w:lang w:val="en-US"/>
        </w:rPr>
        <w:t xml:space="preserve">When sourcing goods and services from the market, Goulburn Valley Health </w:t>
      </w:r>
      <w:r w:rsidR="00CE791C">
        <w:rPr>
          <w:rFonts w:ascii="Arial" w:hAnsi="Arial" w:cs="Arial"/>
          <w:lang w:val="en-US"/>
        </w:rPr>
        <w:t>is</w:t>
      </w:r>
      <w:r w:rsidRPr="00740D92">
        <w:rPr>
          <w:rFonts w:ascii="Arial" w:hAnsi="Arial" w:cs="Arial"/>
          <w:lang w:val="en-US"/>
        </w:rPr>
        <w:t xml:space="preserve"> committed to open, fair</w:t>
      </w:r>
      <w:r w:rsidR="00CE791C">
        <w:rPr>
          <w:rFonts w:ascii="Arial" w:hAnsi="Arial" w:cs="Arial"/>
          <w:lang w:val="en-US"/>
        </w:rPr>
        <w:t>,</w:t>
      </w:r>
      <w:r w:rsidRPr="00740D92">
        <w:rPr>
          <w:rFonts w:ascii="Arial" w:hAnsi="Arial" w:cs="Arial"/>
          <w:lang w:val="en-US"/>
        </w:rPr>
        <w:t xml:space="preserve"> and transparent sourcing processes.</w:t>
      </w:r>
    </w:p>
    <w:p w:rsidR="00740D92" w:rsidRPr="00740D92" w:rsidRDefault="00740D92" w:rsidP="00846311">
      <w:pPr>
        <w:spacing w:line="240" w:lineRule="auto"/>
        <w:jc w:val="both"/>
        <w:rPr>
          <w:rFonts w:ascii="Arial" w:hAnsi="Arial" w:cs="Arial"/>
          <w:lang w:val="en-US"/>
        </w:rPr>
      </w:pPr>
      <w:r w:rsidRPr="00740D92">
        <w:rPr>
          <w:rFonts w:ascii="Arial" w:hAnsi="Arial" w:cs="Arial"/>
          <w:lang w:val="en-US"/>
        </w:rPr>
        <w:t xml:space="preserve">This Procurement Activity Plan provides a summary of the major procurement activities in the non-salary area of organizational expenditure and provides potential suppliers </w:t>
      </w:r>
      <w:r w:rsidR="00CE791C">
        <w:rPr>
          <w:rFonts w:ascii="Arial" w:hAnsi="Arial" w:cs="Arial"/>
          <w:lang w:val="en-US"/>
        </w:rPr>
        <w:t>with advanced</w:t>
      </w:r>
      <w:r w:rsidRPr="00740D92">
        <w:rPr>
          <w:rFonts w:ascii="Arial" w:hAnsi="Arial" w:cs="Arial"/>
          <w:lang w:val="en-US"/>
        </w:rPr>
        <w:t xml:space="preserve"> knowledge of the likely procurements.</w:t>
      </w:r>
    </w:p>
    <w:p w:rsidR="00740D92" w:rsidRPr="00740D92" w:rsidRDefault="00740D92" w:rsidP="00846311">
      <w:pPr>
        <w:spacing w:line="240" w:lineRule="auto"/>
        <w:jc w:val="both"/>
        <w:rPr>
          <w:rFonts w:ascii="Arial" w:hAnsi="Arial" w:cs="Arial"/>
          <w:lang w:val="en-US"/>
        </w:rPr>
      </w:pPr>
      <w:r w:rsidRPr="00740D92">
        <w:rPr>
          <w:rFonts w:ascii="Arial" w:hAnsi="Arial" w:cs="Arial"/>
          <w:lang w:val="en-US"/>
        </w:rPr>
        <w:t>The Procurement Activity Plan will be reviewed and updated as required, based on the best information available at the time of publication.</w:t>
      </w:r>
    </w:p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2405"/>
        <w:gridCol w:w="5387"/>
        <w:gridCol w:w="1871"/>
      </w:tblGrid>
      <w:tr w:rsidR="002D37E2" w:rsidRPr="00851460" w:rsidTr="00CE791C">
        <w:trPr>
          <w:trHeight w:val="34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D37E2" w:rsidRPr="00851460" w:rsidRDefault="002D37E2" w:rsidP="008514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460">
              <w:rPr>
                <w:rFonts w:ascii="Arial" w:hAnsi="Arial" w:cs="Arial"/>
                <w:b/>
                <w:lang w:val="en-US"/>
              </w:rPr>
              <w:t>Category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D37E2" w:rsidRPr="00851460" w:rsidRDefault="002D37E2" w:rsidP="008514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460">
              <w:rPr>
                <w:rFonts w:ascii="Arial" w:hAnsi="Arial" w:cs="Arial"/>
                <w:b/>
                <w:lang w:val="en-US"/>
              </w:rPr>
              <w:t>Description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D37E2" w:rsidRPr="00851460" w:rsidRDefault="00CE791C" w:rsidP="008514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Quarter</w:t>
            </w:r>
          </w:p>
        </w:tc>
      </w:tr>
      <w:tr w:rsidR="00190A35" w:rsidTr="00CE791C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Clinical Support Services</w:t>
            </w:r>
          </w:p>
        </w:tc>
        <w:tc>
          <w:tcPr>
            <w:tcW w:w="5387" w:type="dxa"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Aged Care Medication Management</w:t>
            </w:r>
          </w:p>
        </w:tc>
        <w:tc>
          <w:tcPr>
            <w:tcW w:w="1871" w:type="dxa"/>
            <w:vAlign w:val="center"/>
          </w:tcPr>
          <w:p w:rsidR="00190A35" w:rsidRDefault="00190A35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</w:t>
            </w:r>
          </w:p>
        </w:tc>
      </w:tr>
      <w:tr w:rsidR="00190A3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Client Management Systems (CMS)</w:t>
            </w:r>
          </w:p>
        </w:tc>
        <w:tc>
          <w:tcPr>
            <w:tcW w:w="1871" w:type="dxa"/>
            <w:vAlign w:val="center"/>
          </w:tcPr>
          <w:p w:rsidR="00190A35" w:rsidRDefault="00190A35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Q2 - Q4</w:t>
            </w:r>
          </w:p>
        </w:tc>
      </w:tr>
      <w:tr w:rsidR="00190A3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Supply of Chemotherapy and Biological Therapies</w:t>
            </w:r>
          </w:p>
        </w:tc>
        <w:tc>
          <w:tcPr>
            <w:tcW w:w="1871" w:type="dxa"/>
            <w:vAlign w:val="center"/>
          </w:tcPr>
          <w:p w:rsidR="00190A35" w:rsidRDefault="00190A35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</w:t>
            </w:r>
          </w:p>
        </w:tc>
      </w:tr>
      <w:tr w:rsidR="00190A3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Beds</w:t>
            </w:r>
          </w:p>
        </w:tc>
        <w:tc>
          <w:tcPr>
            <w:tcW w:w="1871" w:type="dxa"/>
            <w:vAlign w:val="center"/>
          </w:tcPr>
          <w:p w:rsidR="00190A35" w:rsidRDefault="00190A35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Q1 - Q2</w:t>
            </w:r>
          </w:p>
        </w:tc>
      </w:tr>
      <w:tr w:rsidR="00190A3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Miscellaneous Medical Equipment</w:t>
            </w:r>
          </w:p>
        </w:tc>
        <w:tc>
          <w:tcPr>
            <w:tcW w:w="1871" w:type="dxa"/>
            <w:vAlign w:val="center"/>
          </w:tcPr>
          <w:p w:rsidR="00190A35" w:rsidRDefault="00190A35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Q1 - Q4</w:t>
            </w:r>
          </w:p>
        </w:tc>
      </w:tr>
      <w:tr w:rsidR="00190A3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190A35" w:rsidRDefault="00190A35" w:rsidP="00CE79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190A35" w:rsidRDefault="00190A35" w:rsidP="00190A3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Electronic Medical Records</w:t>
            </w:r>
          </w:p>
        </w:tc>
        <w:tc>
          <w:tcPr>
            <w:tcW w:w="1871" w:type="dxa"/>
            <w:vAlign w:val="center"/>
          </w:tcPr>
          <w:p w:rsidR="00190A35" w:rsidRDefault="00190A35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Q3 – Q4</w:t>
            </w:r>
          </w:p>
        </w:tc>
      </w:tr>
      <w:tr w:rsidR="002D37E2" w:rsidTr="00CE791C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:rsidR="002D37E2" w:rsidRPr="0024753E" w:rsidRDefault="002D37E2" w:rsidP="00CE791C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Non-Clinical Support Services</w:t>
            </w:r>
          </w:p>
        </w:tc>
        <w:tc>
          <w:tcPr>
            <w:tcW w:w="5387" w:type="dxa"/>
            <w:vAlign w:val="center"/>
          </w:tcPr>
          <w:p w:rsidR="002D37E2" w:rsidRPr="0024753E" w:rsidRDefault="002D37E2" w:rsidP="00CE791C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Radio Advertising</w:t>
            </w:r>
          </w:p>
        </w:tc>
        <w:tc>
          <w:tcPr>
            <w:tcW w:w="1871" w:type="dxa"/>
            <w:vAlign w:val="center"/>
          </w:tcPr>
          <w:p w:rsidR="002D37E2" w:rsidRPr="0024753E" w:rsidRDefault="002D37E2" w:rsidP="002D37E2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Q1</w:t>
            </w:r>
          </w:p>
        </w:tc>
      </w:tr>
      <w:tr w:rsidR="002D37E2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2D37E2" w:rsidRPr="0024753E" w:rsidRDefault="002D37E2" w:rsidP="00CE79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2D37E2" w:rsidRPr="0024753E" w:rsidRDefault="002D37E2" w:rsidP="00CE791C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Supply and maintenance of Print Devices</w:t>
            </w:r>
          </w:p>
        </w:tc>
        <w:tc>
          <w:tcPr>
            <w:tcW w:w="1871" w:type="dxa"/>
            <w:vAlign w:val="center"/>
          </w:tcPr>
          <w:p w:rsidR="002D37E2" w:rsidRPr="0024753E" w:rsidRDefault="002D37E2" w:rsidP="002D37E2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Q3</w:t>
            </w:r>
          </w:p>
        </w:tc>
      </w:tr>
      <w:tr w:rsidR="005261D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5261D5" w:rsidRPr="0024753E" w:rsidRDefault="005261D5" w:rsidP="005261D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5261D5" w:rsidRPr="0024753E" w:rsidRDefault="005261D5" w:rsidP="005261D5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Water Dispensing</w:t>
            </w:r>
          </w:p>
        </w:tc>
        <w:tc>
          <w:tcPr>
            <w:tcW w:w="1871" w:type="dxa"/>
            <w:vAlign w:val="center"/>
          </w:tcPr>
          <w:p w:rsidR="005261D5" w:rsidRPr="0024753E" w:rsidRDefault="005261D5" w:rsidP="005261D5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Q2</w:t>
            </w:r>
          </w:p>
        </w:tc>
      </w:tr>
      <w:tr w:rsidR="005261D5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5261D5" w:rsidRPr="0024753E" w:rsidRDefault="005261D5" w:rsidP="005261D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5261D5" w:rsidRPr="0024753E" w:rsidRDefault="005261D5" w:rsidP="005261D5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Document Storage and Retrieval Offsite</w:t>
            </w:r>
          </w:p>
        </w:tc>
        <w:tc>
          <w:tcPr>
            <w:tcW w:w="1871" w:type="dxa"/>
            <w:vAlign w:val="center"/>
          </w:tcPr>
          <w:p w:rsidR="005261D5" w:rsidRPr="0024753E" w:rsidRDefault="005261D5" w:rsidP="005261D5">
            <w:pPr>
              <w:jc w:val="center"/>
              <w:rPr>
                <w:rFonts w:ascii="Arial" w:hAnsi="Arial" w:cs="Arial"/>
                <w:lang w:val="en-US"/>
              </w:rPr>
            </w:pPr>
            <w:r w:rsidRPr="0024753E">
              <w:rPr>
                <w:rFonts w:ascii="Arial" w:hAnsi="Arial" w:cs="Arial"/>
                <w:lang w:val="en-US"/>
              </w:rPr>
              <w:t>Q3</w:t>
            </w:r>
          </w:p>
        </w:tc>
      </w:tr>
      <w:tr w:rsidR="002D37E2" w:rsidTr="00CE791C">
        <w:trPr>
          <w:trHeight w:val="340"/>
          <w:jc w:val="center"/>
        </w:trPr>
        <w:tc>
          <w:tcPr>
            <w:tcW w:w="2405" w:type="dxa"/>
            <w:vAlign w:val="center"/>
          </w:tcPr>
          <w:p w:rsidR="002D37E2" w:rsidRDefault="00ED3A03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Infrastructure</w:t>
            </w:r>
          </w:p>
        </w:tc>
        <w:tc>
          <w:tcPr>
            <w:tcW w:w="5387" w:type="dxa"/>
            <w:vAlign w:val="center"/>
          </w:tcPr>
          <w:p w:rsidR="002D37E2" w:rsidRDefault="00ED3A03" w:rsidP="00CE79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Procurement of </w:t>
            </w:r>
            <w:r w:rsidR="00F07808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rade </w:t>
            </w:r>
            <w:r w:rsidR="00F07808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 xml:space="preserve">aintenance </w:t>
            </w:r>
            <w:r w:rsidR="00F07808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ervices</w:t>
            </w:r>
          </w:p>
        </w:tc>
        <w:tc>
          <w:tcPr>
            <w:tcW w:w="1871" w:type="dxa"/>
            <w:vAlign w:val="center"/>
          </w:tcPr>
          <w:p w:rsidR="002D37E2" w:rsidRDefault="00ED3A03" w:rsidP="002D37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</w:t>
            </w:r>
            <w:r w:rsidR="00CE791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-</w:t>
            </w:r>
            <w:r w:rsidR="00CE791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Q2</w:t>
            </w:r>
          </w:p>
        </w:tc>
      </w:tr>
      <w:tr w:rsidR="00F20B9C" w:rsidTr="00CE791C">
        <w:trPr>
          <w:trHeight w:val="340"/>
          <w:jc w:val="center"/>
        </w:trPr>
        <w:tc>
          <w:tcPr>
            <w:tcW w:w="2405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Capital Works</w:t>
            </w:r>
          </w:p>
        </w:tc>
        <w:tc>
          <w:tcPr>
            <w:tcW w:w="5387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Ongoing Refurbishment Works</w:t>
            </w:r>
          </w:p>
        </w:tc>
        <w:tc>
          <w:tcPr>
            <w:tcW w:w="1871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Q1 - Q4</w:t>
            </w:r>
          </w:p>
        </w:tc>
      </w:tr>
      <w:tr w:rsidR="00F20B9C" w:rsidTr="00CE791C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5387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YPARC FF&amp;E</w:t>
            </w:r>
          </w:p>
        </w:tc>
        <w:tc>
          <w:tcPr>
            <w:tcW w:w="1871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</w:t>
            </w:r>
          </w:p>
        </w:tc>
      </w:tr>
      <w:tr w:rsidR="00F20B9C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F20B9C" w:rsidRDefault="00F20B9C" w:rsidP="00F20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Community Mental Health FF&amp;E</w:t>
            </w:r>
          </w:p>
        </w:tc>
        <w:tc>
          <w:tcPr>
            <w:tcW w:w="1871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</w:t>
            </w:r>
          </w:p>
        </w:tc>
      </w:tr>
      <w:tr w:rsidR="00F20B9C" w:rsidTr="00CE791C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F20B9C" w:rsidRDefault="00F20B9C" w:rsidP="00F20B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Ongoing Professional Advisory Services</w:t>
            </w:r>
          </w:p>
        </w:tc>
        <w:tc>
          <w:tcPr>
            <w:tcW w:w="1871" w:type="dxa"/>
            <w:vAlign w:val="center"/>
          </w:tcPr>
          <w:p w:rsidR="00F20B9C" w:rsidRDefault="00F20B9C" w:rsidP="00F20B9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Q1 - Q4</w:t>
            </w:r>
          </w:p>
        </w:tc>
      </w:tr>
    </w:tbl>
    <w:p w:rsidR="00740D92" w:rsidRPr="00740D92" w:rsidRDefault="00740D92" w:rsidP="00906502">
      <w:pPr>
        <w:spacing w:after="0" w:line="240" w:lineRule="auto"/>
        <w:rPr>
          <w:rFonts w:ascii="Arial" w:hAnsi="Arial" w:cs="Arial"/>
          <w:lang w:val="en-US"/>
        </w:rPr>
      </w:pPr>
    </w:p>
    <w:p w:rsidR="00740D92" w:rsidRPr="00740D92" w:rsidRDefault="00740D92" w:rsidP="00740D92">
      <w:pPr>
        <w:spacing w:line="240" w:lineRule="auto"/>
        <w:rPr>
          <w:rFonts w:ascii="Arial" w:hAnsi="Arial" w:cs="Arial"/>
          <w:b/>
          <w:lang w:val="en-US"/>
        </w:rPr>
      </w:pPr>
      <w:r w:rsidRPr="00740D92">
        <w:rPr>
          <w:rFonts w:ascii="Arial" w:hAnsi="Arial" w:cs="Arial"/>
          <w:b/>
          <w:lang w:val="en-US"/>
        </w:rPr>
        <w:t>DISCLAIMER:</w:t>
      </w:r>
    </w:p>
    <w:p w:rsidR="004744D9" w:rsidRPr="00775B2B" w:rsidRDefault="00740D92" w:rsidP="00775B2B">
      <w:pPr>
        <w:spacing w:line="240" w:lineRule="auto"/>
        <w:jc w:val="both"/>
        <w:rPr>
          <w:rFonts w:ascii="Arial" w:hAnsi="Arial" w:cs="Arial"/>
          <w:lang w:val="en-US"/>
        </w:rPr>
      </w:pPr>
      <w:r w:rsidRPr="00740D92">
        <w:rPr>
          <w:rFonts w:ascii="Arial" w:hAnsi="Arial" w:cs="Arial"/>
          <w:lang w:val="en-US"/>
        </w:rPr>
        <w:t>All planned procurement activities are subject to revision or cancellation. The information in this annual Procurement Activity Plan is provided for planning purposes only and it does not present a solicitation or constitute a request for proposal, nor is it a commitment by Goulburn Valley Health to purchase the described goods or services. There is no obligation to respond to or return any unsolicited bids received.</w:t>
      </w:r>
    </w:p>
    <w:p w:rsidR="002C2A32" w:rsidRDefault="002C2A32" w:rsidP="00846311">
      <w:pPr>
        <w:spacing w:line="240" w:lineRule="auto"/>
        <w:jc w:val="both"/>
        <w:rPr>
          <w:rFonts w:ascii="Arial" w:hAnsi="Arial" w:cs="Arial"/>
          <w:b/>
          <w:lang w:val="en-US"/>
        </w:rPr>
      </w:pPr>
    </w:p>
    <w:p w:rsidR="002C2A32" w:rsidRDefault="002C2A32" w:rsidP="00846311">
      <w:pPr>
        <w:spacing w:line="240" w:lineRule="auto"/>
        <w:jc w:val="both"/>
        <w:rPr>
          <w:rFonts w:ascii="Arial" w:hAnsi="Arial" w:cs="Arial"/>
          <w:b/>
          <w:lang w:val="en-US"/>
        </w:rPr>
      </w:pPr>
    </w:p>
    <w:p w:rsidR="002C2A32" w:rsidRDefault="002C2A32" w:rsidP="00846311">
      <w:pPr>
        <w:spacing w:line="240" w:lineRule="auto"/>
        <w:jc w:val="both"/>
        <w:rPr>
          <w:rFonts w:ascii="Arial" w:hAnsi="Arial" w:cs="Arial"/>
          <w:b/>
          <w:lang w:val="en-US"/>
        </w:rPr>
      </w:pPr>
    </w:p>
    <w:p w:rsidR="00455952" w:rsidRPr="00455952" w:rsidRDefault="00455952" w:rsidP="00846311">
      <w:pPr>
        <w:spacing w:line="240" w:lineRule="auto"/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  <w:r w:rsidRPr="00455952">
        <w:rPr>
          <w:rFonts w:ascii="Arial" w:hAnsi="Arial" w:cs="Arial"/>
          <w:b/>
          <w:lang w:val="en-US"/>
        </w:rPr>
        <w:lastRenderedPageBreak/>
        <w:t>SUPPLIERS TO NOTE:</w:t>
      </w:r>
    </w:p>
    <w:p w:rsidR="00455952" w:rsidRPr="00455952" w:rsidRDefault="00455952" w:rsidP="00CE79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5952">
        <w:rPr>
          <w:rFonts w:ascii="Arial" w:hAnsi="Arial" w:cs="Arial"/>
          <w:sz w:val="22"/>
          <w:szCs w:val="22"/>
        </w:rPr>
        <w:t>GV Health strongly support</w:t>
      </w:r>
      <w:r>
        <w:rPr>
          <w:rFonts w:ascii="Arial" w:hAnsi="Arial" w:cs="Arial"/>
          <w:sz w:val="22"/>
          <w:szCs w:val="22"/>
        </w:rPr>
        <w:t>s</w:t>
      </w:r>
      <w:r w:rsidRPr="00455952">
        <w:rPr>
          <w:rFonts w:ascii="Arial" w:hAnsi="Arial" w:cs="Arial"/>
          <w:sz w:val="22"/>
          <w:szCs w:val="22"/>
        </w:rPr>
        <w:t xml:space="preserve"> the Victorian Government’s initiatives in Social Procurement, Local Jobs First, Supplier Code of Conduct</w:t>
      </w:r>
      <w:r w:rsidR="00CE791C">
        <w:rPr>
          <w:rFonts w:ascii="Arial" w:hAnsi="Arial" w:cs="Arial"/>
          <w:sz w:val="22"/>
          <w:szCs w:val="22"/>
        </w:rPr>
        <w:t>,</w:t>
      </w:r>
      <w:r w:rsidRPr="00455952">
        <w:rPr>
          <w:rFonts w:ascii="Arial" w:hAnsi="Arial" w:cs="Arial"/>
          <w:sz w:val="22"/>
          <w:szCs w:val="22"/>
        </w:rPr>
        <w:t xml:space="preserve"> and the Federal Government’s Modern Slavery Act. </w:t>
      </w:r>
    </w:p>
    <w:p w:rsidR="00455952" w:rsidRPr="00455952" w:rsidRDefault="00455952" w:rsidP="00CE79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55952" w:rsidRPr="00455952" w:rsidRDefault="00455952" w:rsidP="00CE79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5952">
        <w:rPr>
          <w:rFonts w:ascii="Arial" w:hAnsi="Arial" w:cs="Arial"/>
          <w:sz w:val="22"/>
          <w:szCs w:val="22"/>
        </w:rPr>
        <w:t xml:space="preserve">Suppliers are encouraged to make themselves familiar with these requirements when considering </w:t>
      </w:r>
      <w:r w:rsidR="00CE791C">
        <w:rPr>
          <w:rFonts w:ascii="Arial" w:hAnsi="Arial" w:cs="Arial"/>
          <w:sz w:val="22"/>
          <w:szCs w:val="22"/>
        </w:rPr>
        <w:t>submitting</w:t>
      </w:r>
      <w:r w:rsidRPr="00455952">
        <w:rPr>
          <w:rFonts w:ascii="Arial" w:hAnsi="Arial" w:cs="Arial"/>
          <w:sz w:val="22"/>
          <w:szCs w:val="22"/>
        </w:rPr>
        <w:t xml:space="preserve"> tenders/quotes for any of the above procurement activities. </w:t>
      </w:r>
    </w:p>
    <w:p w:rsidR="00455952" w:rsidRPr="00455952" w:rsidRDefault="00455952" w:rsidP="00CE79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55952" w:rsidRPr="00F67E02" w:rsidRDefault="00455952" w:rsidP="00CE79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67E02">
        <w:rPr>
          <w:rFonts w:ascii="Arial" w:hAnsi="Arial" w:cs="Arial"/>
          <w:b/>
          <w:sz w:val="22"/>
          <w:szCs w:val="22"/>
        </w:rPr>
        <w:t xml:space="preserve">Further information can be found at: </w:t>
      </w:r>
    </w:p>
    <w:p w:rsidR="00CE791C" w:rsidRDefault="00455952" w:rsidP="00F67E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5952">
        <w:rPr>
          <w:rFonts w:ascii="Arial" w:hAnsi="Arial" w:cs="Arial"/>
          <w:sz w:val="22"/>
          <w:szCs w:val="22"/>
        </w:rPr>
        <w:t>Social Procurement Framework</w:t>
      </w:r>
    </w:p>
    <w:p w:rsidR="00455952" w:rsidRDefault="00F67E02" w:rsidP="00F67E02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  <w:hyperlink r:id="rId7" w:history="1">
        <w:r w:rsidRPr="00E85F69">
          <w:rPr>
            <w:rStyle w:val="Hyperlink"/>
            <w:rFonts w:ascii="Arial" w:hAnsi="Arial" w:cs="Arial"/>
            <w:sz w:val="22"/>
            <w:szCs w:val="22"/>
          </w:rPr>
          <w:t>https://www.buyingfor.vic.gov.au/social-procurement-framework-and-guides</w:t>
        </w:r>
      </w:hyperlink>
    </w:p>
    <w:p w:rsidR="00F67E02" w:rsidRPr="00455952" w:rsidRDefault="00F67E02" w:rsidP="00F67E02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</w:p>
    <w:p w:rsidR="00CE791C" w:rsidRDefault="00455952" w:rsidP="00F67E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5952">
        <w:rPr>
          <w:rFonts w:ascii="Arial" w:hAnsi="Arial" w:cs="Arial"/>
          <w:sz w:val="22"/>
          <w:szCs w:val="22"/>
        </w:rPr>
        <w:t>Local Jobs First</w:t>
      </w:r>
    </w:p>
    <w:p w:rsidR="00455952" w:rsidRDefault="00F67E02" w:rsidP="00F67E02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  <w:hyperlink r:id="rId8" w:history="1">
        <w:r w:rsidRPr="00E85F69">
          <w:rPr>
            <w:rStyle w:val="Hyperlink"/>
            <w:rFonts w:ascii="Arial" w:hAnsi="Arial" w:cs="Arial"/>
            <w:sz w:val="22"/>
            <w:szCs w:val="22"/>
          </w:rPr>
          <w:t>https://www.buyingfor.vic.gov.au/local-jobs-first</w:t>
        </w:r>
      </w:hyperlink>
      <w:r w:rsidR="00455952" w:rsidRPr="00455952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F67E02" w:rsidRPr="00455952" w:rsidRDefault="00F67E02" w:rsidP="00F67E02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</w:p>
    <w:p w:rsidR="00CE791C" w:rsidRDefault="00455952" w:rsidP="00F67E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5952">
        <w:rPr>
          <w:rFonts w:ascii="Arial" w:hAnsi="Arial" w:cs="Arial"/>
          <w:sz w:val="22"/>
          <w:szCs w:val="22"/>
        </w:rPr>
        <w:t>Supplier Code of Conduct</w:t>
      </w:r>
    </w:p>
    <w:p w:rsidR="00F67E02" w:rsidRDefault="00F67E02" w:rsidP="00F67E02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  <w:hyperlink r:id="rId9" w:history="1">
        <w:r w:rsidRPr="00E85F69">
          <w:rPr>
            <w:rStyle w:val="Hyperlink"/>
            <w:rFonts w:ascii="Arial" w:hAnsi="Arial" w:cs="Arial"/>
            <w:sz w:val="22"/>
            <w:szCs w:val="22"/>
          </w:rPr>
          <w:t>https://www.buyingfor.vic.gov.au/supplier-code-conduct</w:t>
        </w:r>
      </w:hyperlink>
    </w:p>
    <w:p w:rsidR="00455952" w:rsidRDefault="00455952" w:rsidP="00F67E02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  <w:r w:rsidRPr="00455952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E791C" w:rsidRDefault="00F67E02" w:rsidP="00F67E02">
      <w:pPr>
        <w:spacing w:after="0" w:line="240" w:lineRule="auto"/>
        <w:jc w:val="both"/>
        <w:rPr>
          <w:rFonts w:ascii="Arial" w:hAnsi="Arial" w:cs="Arial"/>
        </w:rPr>
      </w:pPr>
      <w:r w:rsidRPr="005261D5">
        <w:rPr>
          <w:rFonts w:ascii="Arial" w:hAnsi="Arial" w:cs="Arial"/>
        </w:rPr>
        <w:t>M</w:t>
      </w:r>
      <w:r w:rsidR="00455952" w:rsidRPr="00455952">
        <w:rPr>
          <w:rFonts w:ascii="Arial" w:hAnsi="Arial" w:cs="Arial"/>
        </w:rPr>
        <w:t>odern Slavery Act</w:t>
      </w:r>
    </w:p>
    <w:p w:rsidR="00455952" w:rsidRDefault="005261D5" w:rsidP="00F67E02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10" w:history="1">
        <w:r w:rsidRPr="00E85F69">
          <w:rPr>
            <w:rStyle w:val="Hyperlink"/>
            <w:rFonts w:ascii="Arial" w:hAnsi="Arial" w:cs="Arial"/>
          </w:rPr>
          <w:t>https://www.homeaffairs.gov.au/criminal-justice/files/modern-slavery-reporting-entities.pdf</w:t>
        </w:r>
      </w:hyperlink>
    </w:p>
    <w:p w:rsidR="005261D5" w:rsidRDefault="005261D5" w:rsidP="00F67E0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:rsidR="00625EDE" w:rsidRPr="00455952" w:rsidRDefault="00625EDE" w:rsidP="00F67E02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625EDE" w:rsidRPr="00455952" w:rsidSect="00D06C89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B8" w:rsidRDefault="007E1DB8" w:rsidP="00846311">
      <w:pPr>
        <w:spacing w:after="0" w:line="240" w:lineRule="auto"/>
      </w:pPr>
      <w:r>
        <w:separator/>
      </w:r>
    </w:p>
  </w:endnote>
  <w:endnote w:type="continuationSeparator" w:id="0">
    <w:p w:rsidR="007E1DB8" w:rsidRDefault="007E1DB8" w:rsidP="008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502" w:rsidRPr="00906502" w:rsidRDefault="00906502" w:rsidP="00906502">
    <w:pPr>
      <w:pStyle w:val="Footer"/>
      <w:rPr>
        <w:lang w:val="en-US"/>
      </w:rPr>
    </w:pPr>
    <w:r>
      <w:rPr>
        <w:lang w:val="en-US"/>
      </w:rPr>
      <w:t>Published:</w:t>
    </w:r>
    <w:r w:rsidR="008965E8">
      <w:rPr>
        <w:lang w:val="en-US"/>
      </w:rPr>
      <w:t xml:space="preserve"> </w:t>
    </w:r>
    <w:r w:rsidR="00CE791C">
      <w:rPr>
        <w:lang w:val="en-US"/>
      </w:rPr>
      <w:t>June</w:t>
    </w:r>
    <w:r w:rsidR="008965E8">
      <w:rPr>
        <w:lang w:val="en-US"/>
      </w:rPr>
      <w:t xml:space="preserve"> 202</w:t>
    </w:r>
    <w:r w:rsidR="00CE791C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B8" w:rsidRDefault="007E1DB8" w:rsidP="00846311">
      <w:pPr>
        <w:spacing w:after="0" w:line="240" w:lineRule="auto"/>
      </w:pPr>
      <w:r>
        <w:separator/>
      </w:r>
    </w:p>
  </w:footnote>
  <w:footnote w:type="continuationSeparator" w:id="0">
    <w:p w:rsidR="007E1DB8" w:rsidRDefault="007E1DB8" w:rsidP="0084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11" w:rsidRDefault="0084631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EA270AB" wp14:editId="68C93FB0">
          <wp:simplePos x="0" y="0"/>
          <wp:positionH relativeFrom="margin">
            <wp:posOffset>-701040</wp:posOffset>
          </wp:positionH>
          <wp:positionV relativeFrom="page">
            <wp:posOffset>9525</wp:posOffset>
          </wp:positionV>
          <wp:extent cx="7559675" cy="11715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 Health Letterhead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74"/>
                  <a:stretch/>
                </pic:blipFill>
                <pic:spPr bwMode="auto">
                  <a:xfrm>
                    <a:off x="0" y="0"/>
                    <a:ext cx="7559675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8"/>
    <w:rsid w:val="00016148"/>
    <w:rsid w:val="000275B2"/>
    <w:rsid w:val="000E3848"/>
    <w:rsid w:val="00132D1F"/>
    <w:rsid w:val="00190A35"/>
    <w:rsid w:val="001A3428"/>
    <w:rsid w:val="0024753E"/>
    <w:rsid w:val="00287877"/>
    <w:rsid w:val="002C0641"/>
    <w:rsid w:val="002C2A32"/>
    <w:rsid w:val="002D2B7A"/>
    <w:rsid w:val="002D37E2"/>
    <w:rsid w:val="00301419"/>
    <w:rsid w:val="00325BBD"/>
    <w:rsid w:val="0033041D"/>
    <w:rsid w:val="0034040E"/>
    <w:rsid w:val="00417535"/>
    <w:rsid w:val="00455952"/>
    <w:rsid w:val="00455BBF"/>
    <w:rsid w:val="004744D9"/>
    <w:rsid w:val="00476DE6"/>
    <w:rsid w:val="00507320"/>
    <w:rsid w:val="005261D5"/>
    <w:rsid w:val="00533984"/>
    <w:rsid w:val="00586118"/>
    <w:rsid w:val="00596571"/>
    <w:rsid w:val="005A3E1A"/>
    <w:rsid w:val="005E13FC"/>
    <w:rsid w:val="00606952"/>
    <w:rsid w:val="00625EDE"/>
    <w:rsid w:val="00672FD0"/>
    <w:rsid w:val="00682384"/>
    <w:rsid w:val="006F38D3"/>
    <w:rsid w:val="00740D92"/>
    <w:rsid w:val="00775B2B"/>
    <w:rsid w:val="007937E8"/>
    <w:rsid w:val="007C6A4E"/>
    <w:rsid w:val="007D105F"/>
    <w:rsid w:val="007D2965"/>
    <w:rsid w:val="007E1DB8"/>
    <w:rsid w:val="00846311"/>
    <w:rsid w:val="00851460"/>
    <w:rsid w:val="008965E8"/>
    <w:rsid w:val="00906502"/>
    <w:rsid w:val="009070C0"/>
    <w:rsid w:val="00916600"/>
    <w:rsid w:val="009973EB"/>
    <w:rsid w:val="00A20137"/>
    <w:rsid w:val="00B21765"/>
    <w:rsid w:val="00B61F5F"/>
    <w:rsid w:val="00B92930"/>
    <w:rsid w:val="00BB60CF"/>
    <w:rsid w:val="00C57C73"/>
    <w:rsid w:val="00CE51E7"/>
    <w:rsid w:val="00CE791C"/>
    <w:rsid w:val="00D06C89"/>
    <w:rsid w:val="00D8621D"/>
    <w:rsid w:val="00ED04B9"/>
    <w:rsid w:val="00ED3A03"/>
    <w:rsid w:val="00EE51A0"/>
    <w:rsid w:val="00F07808"/>
    <w:rsid w:val="00F20B9C"/>
    <w:rsid w:val="00F424E3"/>
    <w:rsid w:val="00F6600A"/>
    <w:rsid w:val="00F67E02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60B0B"/>
  <w15:docId w15:val="{9234CE05-A217-4770-A6BD-D5D468D3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11"/>
  </w:style>
  <w:style w:type="paragraph" w:styleId="Footer">
    <w:name w:val="footer"/>
    <w:basedOn w:val="Normal"/>
    <w:link w:val="FooterChar"/>
    <w:uiPriority w:val="99"/>
    <w:unhideWhenUsed/>
    <w:rsid w:val="0084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11"/>
  </w:style>
  <w:style w:type="paragraph" w:customStyle="1" w:styleId="Default">
    <w:name w:val="Default"/>
    <w:rsid w:val="004559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7E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yingfor.vic.gov.au/local-jobs-fir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yingfor.vic.gov.au/social-procurement-framework-and-guid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omeaffairs.gov.au/criminal-justice/files/modern-slavery-reporting-entit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yingfor.vic.gov.au/supplier-code-condu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954C-FDCA-4186-956B-D3739B4E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2819</Characters>
  <Application>Microsoft Office Word</Application>
  <DocSecurity>0</DocSecurity>
  <Lines>108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 Valley Health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maxfield</dc:creator>
  <cp:lastModifiedBy>Georgie Tucknott</cp:lastModifiedBy>
  <cp:revision>7</cp:revision>
  <cp:lastPrinted>2022-09-13T05:37:00Z</cp:lastPrinted>
  <dcterms:created xsi:type="dcterms:W3CDTF">2025-03-11T23:04:00Z</dcterms:created>
  <dcterms:modified xsi:type="dcterms:W3CDTF">2025-03-11T23:19:00Z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0fb520b3093b6ba45b377c49acf48459adaf31ff20f52e0fdccab8ed067aa88f</vt:lpwstr>
  </property>
</Properties>
</file>